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6B" w:rsidRDefault="00CC06EE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="00BC0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SYLLABUS FOR MEDICAL LABORATORY  TECHNICIAN</w:t>
      </w:r>
    </w:p>
    <w:p w:rsidR="00D94E77" w:rsidRDefault="00017F76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</w:t>
      </w:r>
      <w:r w:rsidR="00A01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BMLT-2</w:t>
      </w:r>
      <w:r w:rsidR="00A016F2" w:rsidRPr="00A01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t>ND</w:t>
      </w:r>
      <w:r w:rsidR="00A01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YEAR</w:t>
      </w:r>
    </w:p>
    <w:p w:rsidR="00BC0B6B" w:rsidRDefault="00017F76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</w:t>
      </w:r>
      <w:r w:rsidR="00BC0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YEAR PROGRAMME</w:t>
      </w:r>
    </w:p>
    <w:p w:rsidR="00BC0B6B" w:rsidRDefault="002F73A2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</w:t>
      </w:r>
      <w:r w:rsidR="00017F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BC0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PAPER-1</w:t>
      </w:r>
    </w:p>
    <w:p w:rsidR="00BC0B6B" w:rsidRDefault="00017F76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</w:t>
      </w:r>
      <w:r w:rsidR="00BC0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BMLT-201</w:t>
      </w:r>
    </w:p>
    <w:p w:rsidR="002F73A2" w:rsidRPr="002F73A2" w:rsidRDefault="002F73A2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2F73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                   </w:t>
      </w:r>
      <w:r w:rsidRPr="002F73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Biochemistry</w:t>
      </w:r>
    </w:p>
    <w:p w:rsidR="002F73A2" w:rsidRDefault="002F73A2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4E77" w:rsidRDefault="00D94E77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0B6B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gramStart"/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ANALYTICAL</w:t>
      </w:r>
      <w:r w:rsidR="009136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BIOCHEMISTRY</w:t>
      </w:r>
      <w:proofErr w:type="gramEnd"/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9136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AND</w:t>
      </w:r>
      <w:r w:rsidR="009136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METABOLISM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 </w:t>
      </w:r>
    </w:p>
    <w:p w:rsidR="00201242" w:rsidRDefault="00201242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Colorimetry</w:t>
      </w:r>
      <w:proofErr w:type="spellEnd"/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01242" w:rsidRDefault="007C2903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pectro</w:t>
      </w:r>
      <w:proofErr w:type="spellEnd"/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photometry, </w:t>
      </w:r>
    </w:p>
    <w:p w:rsidR="00201242" w:rsidRDefault="007C2903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</w:t>
      </w:r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lam photometry. </w:t>
      </w:r>
    </w:p>
    <w:p w:rsidR="00201242" w:rsidRDefault="00D94E77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Atomic</w:t>
      </w:r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absorption spectroscopy.</w:t>
      </w:r>
    </w:p>
    <w:p w:rsidR="00201242" w:rsidRDefault="00BC0B6B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Electrometric determination of Na and K+, </w:t>
      </w:r>
    </w:p>
    <w:p w:rsidR="00201242" w:rsidRDefault="007C2903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hromatography, </w:t>
      </w:r>
    </w:p>
    <w:p w:rsidR="00201242" w:rsidRDefault="007C2903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 w:rsid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lectrophoresis.</w:t>
      </w:r>
    </w:p>
    <w:p w:rsidR="00201242" w:rsidRDefault="00201242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ntroduction, properties and simple metabolism of carbohydrates, proteins and fats, nucleic acids and enzymes (Introduction, general properties).</w:t>
      </w:r>
    </w:p>
    <w:p w:rsidR="00201242" w:rsidRDefault="00BC0B6B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Digestion and Absorption.</w:t>
      </w:r>
      <w:r w:rsidR="009136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Nutrition (Vitamins, Calories).</w:t>
      </w:r>
    </w:p>
    <w:p w:rsidR="00BC0B6B" w:rsidRPr="00201242" w:rsidRDefault="007C2903" w:rsidP="009C03F0">
      <w:pPr>
        <w:pStyle w:val="ListParagraph"/>
        <w:numPr>
          <w:ilvl w:val="0"/>
          <w:numId w:val="5"/>
        </w:numPr>
        <w:spacing w:before="100" w:beforeAutospacing="1" w:after="100" w:afterAutospacing="1" w:line="60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B6B" w:rsidRPr="00201242">
        <w:rPr>
          <w:rFonts w:ascii="Times New Roman" w:eastAsia="Times New Roman" w:hAnsi="Times New Roman" w:cs="Times New Roman"/>
          <w:color w:val="000000"/>
          <w:sz w:val="28"/>
          <w:szCs w:val="28"/>
        </w:rPr>
        <w:t>Radioimmunoassay (RIA) and ELISA.</w:t>
      </w:r>
    </w:p>
    <w:p w:rsidR="00BC0B6B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C0B6B" w:rsidRPr="00BC0B6B" w:rsidRDefault="009C03F0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           </w:t>
      </w:r>
      <w:bookmarkStart w:id="0" w:name="_GoBack"/>
      <w:bookmarkEnd w:id="0"/>
      <w:r w:rsidR="00BC0B6B" w:rsidRPr="00BC0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PAPER-2</w:t>
      </w:r>
    </w:p>
    <w:p w:rsidR="00BC0B6B" w:rsidRPr="00BC0B6B" w:rsidRDefault="00017F76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</w:t>
      </w:r>
      <w:r w:rsidR="007C2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C0B6B" w:rsidRPr="00BC0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BMLT-202</w:t>
      </w:r>
    </w:p>
    <w:p w:rsidR="0017527A" w:rsidRDefault="007C2903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C2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2F73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</w:t>
      </w:r>
      <w:r w:rsidRPr="007C2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17F76" w:rsidRPr="007C2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BC0B6B" w:rsidRPr="007C2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CELLULAR </w:t>
      </w:r>
      <w:r w:rsidR="002F73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BC0B6B" w:rsidRPr="007C2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PATHOLOGY</w:t>
      </w:r>
      <w:proofErr w:type="gramEnd"/>
      <w:r w:rsidR="00BC0B6B" w:rsidRPr="007C2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Human Histology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I. Study of various body tissues: -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(a) Epithelial tissue.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(b) Connective tissue including bone and cartilage.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(c) Muscular </w:t>
      </w:r>
      <w:r w:rsidRP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>tissue</w:t>
      </w: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(d) Nervous tissue.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(e) Glands, epithetical and endocrine.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II. </w:t>
      </w: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Histological Study of Various System of the Body</w:t>
      </w: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(a) The circulatory system.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(b) The alimentary system.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(c) The digestive system including liver, pancreas and gall-bladder.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(d) The respiratory system.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(e) The urinary system.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(f) The system of endocrine glands.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(g) The reproductive system.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(h) Nerve endings and organs of special senses.</w:t>
      </w:r>
    </w:p>
    <w:p w:rsidR="0017527A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Fundamentals of Applied Histology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1. Microscopy, working principle, maintenance and applications of various types of microscopes:</w:t>
      </w:r>
    </w:p>
    <w:p w:rsidR="00BC0B6B" w:rsidRPr="00446B78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Dark ground microscope.</w:t>
      </w:r>
    </w:p>
    <w:p w:rsidR="00BC0B6B" w:rsidRPr="00446B78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Polarizing microscope.</w:t>
      </w:r>
    </w:p>
    <w:p w:rsidR="00BC0B6B" w:rsidRPr="00446B78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Phase contrast microscope.</w:t>
      </w:r>
    </w:p>
    <w:p w:rsidR="00BC0B6B" w:rsidRPr="00446B78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Interference microscope.</w:t>
      </w:r>
    </w:p>
    <w:p w:rsidR="00BC0B6B" w:rsidRPr="00446B78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U.V. light microscope.</w:t>
      </w:r>
    </w:p>
    <w:p w:rsidR="00BC0B6B" w:rsidRPr="00446B78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Micrometry.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Metachromasis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metachromatic dyes.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Haematoxylin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stain. </w:t>
      </w:r>
      <w:proofErr w:type="gram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Its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importance</w:t>
      </w:r>
      <w:proofErr w:type="gram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 histology.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4. Carbohydrates and amyloid-special stains and procedures.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5. Connective tissues, trichrome staining and other special stain for muscle-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fibres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7C2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elastic,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reticulinfibres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collagen fibres.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6. Principles of metal impregnation techniques.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7. Demonstration and identification of minerals and pigments.</w:t>
      </w:r>
    </w:p>
    <w:p w:rsidR="0017527A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201242" w:rsidRDefault="00201242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213CEE" w:rsidRDefault="00213CEE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201242" w:rsidRDefault="00201242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CYTOLOGY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13CEE" w:rsidRDefault="00213CEE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1. Stains cytologic preparation with special emphasis on MGG, PAPANICOLOU stains.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2. Special stains like PAS, Mucicarmine, Alcian blue, schmorl and acid phosphatase.</w:t>
      </w:r>
    </w:p>
    <w:p w:rsidR="00BC0B6B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3. Cytologic screening and quality control in cytology laboratory.</w:t>
      </w: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2158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73A2" w:rsidRDefault="00F42158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</w:t>
      </w:r>
      <w:r w:rsidR="00017F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</w:t>
      </w:r>
      <w:r w:rsidR="00213C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</w:t>
      </w:r>
    </w:p>
    <w:p w:rsidR="0078455A" w:rsidRPr="00BC0B6B" w:rsidRDefault="002F73A2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</w:t>
      </w:r>
      <w:r w:rsidR="00017F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784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PAPER-3</w:t>
      </w:r>
    </w:p>
    <w:p w:rsidR="0078455A" w:rsidRDefault="00017F76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</w:t>
      </w:r>
      <w:r w:rsidR="00784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BMLT-203</w:t>
      </w:r>
    </w:p>
    <w:p w:rsidR="0078455A" w:rsidRDefault="00017F76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17F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</w:t>
      </w:r>
      <w:r w:rsidR="0078455A" w:rsidRPr="00017F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APPLIED HEMATOLOGY</w:t>
      </w:r>
    </w:p>
    <w:p w:rsidR="00017F76" w:rsidRPr="00017F76" w:rsidRDefault="00017F76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017F76" w:rsidRPr="00017F76" w:rsidRDefault="00017F76" w:rsidP="00017F76">
      <w:pPr>
        <w:spacing w:line="240" w:lineRule="auto"/>
        <w:rPr>
          <w:rFonts w:eastAsiaTheme="minorHAnsi"/>
          <w:b/>
          <w:bCs/>
          <w:sz w:val="32"/>
          <w:szCs w:val="32"/>
          <w:u w:val="single"/>
          <w:lang w:bidi="hi-IN"/>
        </w:rPr>
      </w:pPr>
      <w:r w:rsidRPr="00017F76">
        <w:rPr>
          <w:rFonts w:eastAsiaTheme="minorHAnsi"/>
          <w:b/>
          <w:bCs/>
          <w:sz w:val="32"/>
          <w:szCs w:val="32"/>
          <w:u w:val="single"/>
          <w:lang w:bidi="hi-IN"/>
        </w:rPr>
        <w:t>1. Routine hematology</w:t>
      </w:r>
      <w:r>
        <w:rPr>
          <w:rFonts w:eastAsiaTheme="minorHAnsi"/>
          <w:b/>
          <w:bCs/>
          <w:sz w:val="32"/>
          <w:szCs w:val="32"/>
          <w:u w:val="single"/>
          <w:lang w:bidi="hi-IN"/>
        </w:rPr>
        <w:t xml:space="preserve"> tests:</w:t>
      </w:r>
    </w:p>
    <w:p w:rsidR="0078455A" w:rsidRPr="0078455A" w:rsidRDefault="0078455A" w:rsidP="00017F76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a) Determination of Hemoglobin and Hematocrit</w:t>
      </w:r>
    </w:p>
    <w:p w:rsidR="0078455A" w:rsidRPr="0078455A" w:rsidRDefault="0078455A" w:rsidP="00017F76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b) Enumeration of RBC, WBC &amp; Platelets</w:t>
      </w:r>
    </w:p>
    <w:p w:rsidR="0078455A" w:rsidRPr="0078455A" w:rsidRDefault="0078455A" w:rsidP="00017F76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c) Absolute Eosinophil count</w:t>
      </w:r>
    </w:p>
    <w:p w:rsidR="0078455A" w:rsidRPr="0078455A" w:rsidRDefault="0078455A" w:rsidP="00017F76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d) Reticulocyte count</w:t>
      </w:r>
    </w:p>
    <w:p w:rsidR="0078455A" w:rsidRPr="0078455A" w:rsidRDefault="0078455A" w:rsidP="00017F76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f) Preparation and</w:t>
      </w:r>
      <w:r w:rsidR="007C2903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</w:t>
      </w: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staining of blood film for morphological examination of red cells and differential count.</w:t>
      </w:r>
    </w:p>
    <w:p w:rsidR="0078455A" w:rsidRPr="0078455A" w:rsidRDefault="00017F76" w:rsidP="00017F76">
      <w:pPr>
        <w:spacing w:line="240" w:lineRule="auto"/>
        <w:rPr>
          <w:rFonts w:ascii="Times New Roman" w:eastAsiaTheme="minorHAnsi" w:hAnsi="Times New Roman" w:cs="Times New Roman"/>
          <w:b/>
          <w:bCs/>
          <w:sz w:val="32"/>
          <w:szCs w:val="32"/>
          <w:lang w:bidi="hi-IN"/>
        </w:rPr>
      </w:pPr>
      <w:proofErr w:type="gramStart"/>
      <w:r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>2.</w:t>
      </w:r>
      <w:r w:rsidR="0078455A" w:rsidRPr="0078455A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>Special</w:t>
      </w:r>
      <w:proofErr w:type="gramEnd"/>
      <w:r w:rsidR="0078455A" w:rsidRPr="0078455A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 xml:space="preserve"> Hematological tests</w:t>
      </w:r>
      <w:r w:rsidR="0078455A" w:rsidRPr="0078455A">
        <w:rPr>
          <w:rFonts w:ascii="Times New Roman" w:eastAsiaTheme="minorHAnsi" w:hAnsi="Times New Roman" w:cs="Times New Roman"/>
          <w:b/>
          <w:bCs/>
          <w:sz w:val="32"/>
          <w:szCs w:val="32"/>
          <w:lang w:bidi="hi-IN"/>
        </w:rPr>
        <w:t>:</w:t>
      </w:r>
    </w:p>
    <w:p w:rsidR="0078455A" w:rsidRP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Sickling test</w:t>
      </w:r>
    </w:p>
    <w:p w:rsidR="0078455A" w:rsidRP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Osmotic fragility test </w:t>
      </w:r>
    </w:p>
    <w:p w:rsidR="0078455A" w:rsidRP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Determination </w:t>
      </w:r>
      <w:proofErr w:type="spellStart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HbF</w:t>
      </w:r>
      <w:proofErr w:type="spellEnd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and HbA2 </w:t>
      </w:r>
    </w:p>
    <w:p w:rsidR="0078455A" w:rsidRP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Hemoglobin Electrophoresis </w:t>
      </w:r>
    </w:p>
    <w:p w:rsidR="0078455A" w:rsidRP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Investigation of G6PD deficiency</w:t>
      </w:r>
    </w:p>
    <w:p w:rsidR="0078455A" w:rsidRP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Plasma </w:t>
      </w:r>
      <w:proofErr w:type="spellStart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haptoglobin</w:t>
      </w:r>
      <w:proofErr w:type="spellEnd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and demonstration of hemosiderin in urine </w:t>
      </w:r>
    </w:p>
    <w:p w:rsidR="0078455A" w:rsidRP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Tests for Autoimmune hemolytic </w:t>
      </w:r>
      <w:proofErr w:type="spellStart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anaemia</w:t>
      </w:r>
      <w:proofErr w:type="spellEnd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</w:t>
      </w:r>
    </w:p>
    <w:p w:rsidR="0078455A" w:rsidRDefault="0078455A" w:rsidP="00017F76">
      <w:pPr>
        <w:numPr>
          <w:ilvl w:val="0"/>
          <w:numId w:val="6"/>
        </w:num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Measurement of abnormal </w:t>
      </w:r>
      <w:proofErr w:type="spellStart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Hb</w:t>
      </w:r>
      <w:proofErr w:type="spellEnd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pigments </w:t>
      </w:r>
    </w:p>
    <w:p w:rsidR="00017F76" w:rsidRPr="0078455A" w:rsidRDefault="00017F76" w:rsidP="00017F76">
      <w:pPr>
        <w:spacing w:line="240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</w:p>
    <w:p w:rsidR="00017F76" w:rsidRPr="0078455A" w:rsidRDefault="00017F76" w:rsidP="00017F76">
      <w:pPr>
        <w:spacing w:line="240" w:lineRule="auto"/>
        <w:contextualSpacing/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</w:pPr>
      <w:proofErr w:type="gramStart"/>
      <w:r w:rsidRPr="00017F76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>3.</w:t>
      </w:r>
      <w:r w:rsidR="0078455A" w:rsidRPr="0078455A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>Hemostasis</w:t>
      </w:r>
      <w:proofErr w:type="gramEnd"/>
      <w:r w:rsidR="0078455A" w:rsidRPr="0078455A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 xml:space="preserve"> and Coagulation </w:t>
      </w:r>
    </w:p>
    <w:p w:rsidR="0078455A" w:rsidRPr="0078455A" w:rsidRDefault="0078455A" w:rsidP="00017F76">
      <w:pPr>
        <w:spacing w:line="240" w:lineRule="auto"/>
        <w:ind w:left="9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a) Normal hemostasis, mechanism of blood coagulation and normal </w:t>
      </w:r>
      <w:proofErr w:type="spellStart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fibrinolytic</w:t>
      </w:r>
      <w:proofErr w:type="spellEnd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system </w:t>
      </w:r>
    </w:p>
    <w:p w:rsidR="0078455A" w:rsidRPr="0078455A" w:rsidRDefault="0078455A" w:rsidP="00017F76">
      <w:pPr>
        <w:spacing w:line="240" w:lineRule="auto"/>
        <w:ind w:left="9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proofErr w:type="gramStart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b</w:t>
      </w:r>
      <w:proofErr w:type="gramEnd"/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) Collection of blood and anticoagulants used in coagulation studies </w:t>
      </w:r>
    </w:p>
    <w:p w:rsidR="0078455A" w:rsidRPr="0078455A" w:rsidRDefault="0078455A" w:rsidP="00017F76">
      <w:pPr>
        <w:spacing w:line="240" w:lineRule="auto"/>
        <w:ind w:left="9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c) Investigation of hemostatic mechanism-BT, CT, whole blood coagulation time test, PT, PTT </w:t>
      </w:r>
    </w:p>
    <w:p w:rsidR="0078455A" w:rsidRPr="0078455A" w:rsidRDefault="0078455A" w:rsidP="00017F76">
      <w:pPr>
        <w:spacing w:line="240" w:lineRule="auto"/>
        <w:ind w:left="9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d) Assay of clotting factors. </w:t>
      </w:r>
    </w:p>
    <w:p w:rsidR="00CC06EE" w:rsidRPr="0078455A" w:rsidRDefault="00017F76" w:rsidP="00017F76">
      <w:pPr>
        <w:spacing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bidi="hi-IN"/>
        </w:rPr>
        <w:t>e)</w:t>
      </w:r>
      <w:r w:rsidR="0078455A"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Platelet</w:t>
      </w:r>
      <w:proofErr w:type="gramEnd"/>
      <w:r w:rsidR="0078455A"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 function tests </w:t>
      </w:r>
    </w:p>
    <w:p w:rsidR="00017F76" w:rsidRPr="0078455A" w:rsidRDefault="00017F76" w:rsidP="00017F76">
      <w:pPr>
        <w:spacing w:line="240" w:lineRule="auto"/>
        <w:ind w:left="90"/>
        <w:contextualSpacing/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</w:pPr>
      <w:proofErr w:type="gramStart"/>
      <w:r w:rsidRPr="00017F76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>4.</w:t>
      </w:r>
      <w:r w:rsidR="0078455A" w:rsidRPr="0078455A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>Bone</w:t>
      </w:r>
      <w:proofErr w:type="gramEnd"/>
      <w:r w:rsidR="0078455A" w:rsidRPr="0078455A">
        <w:rPr>
          <w:rFonts w:ascii="Times New Roman" w:eastAsiaTheme="minorHAnsi" w:hAnsi="Times New Roman" w:cs="Times New Roman"/>
          <w:b/>
          <w:bCs/>
          <w:sz w:val="32"/>
          <w:szCs w:val="32"/>
          <w:u w:val="single"/>
          <w:lang w:bidi="hi-IN"/>
        </w:rPr>
        <w:t xml:space="preserve"> marrow biopsy study </w:t>
      </w:r>
    </w:p>
    <w:p w:rsidR="0078455A" w:rsidRPr="0078455A" w:rsidRDefault="0078455A" w:rsidP="00017F76">
      <w:pPr>
        <w:spacing w:line="240" w:lineRule="auto"/>
        <w:ind w:left="18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a) Needle aspiration and surgical biopsy technique </w:t>
      </w:r>
    </w:p>
    <w:p w:rsidR="0078455A" w:rsidRPr="0078455A" w:rsidRDefault="0078455A" w:rsidP="00017F76">
      <w:pPr>
        <w:spacing w:line="240" w:lineRule="auto"/>
        <w:ind w:left="18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 xml:space="preserve">b) Preparation of smears and staining </w:t>
      </w:r>
    </w:p>
    <w:p w:rsidR="00017F76" w:rsidRDefault="0078455A" w:rsidP="00017F76">
      <w:pPr>
        <w:spacing w:line="240" w:lineRule="auto"/>
        <w:ind w:left="18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 w:rsidRPr="0078455A">
        <w:rPr>
          <w:rFonts w:ascii="Times New Roman" w:eastAsiaTheme="minorHAnsi" w:hAnsi="Times New Roman" w:cs="Times New Roman"/>
          <w:sz w:val="28"/>
          <w:szCs w:val="28"/>
          <w:lang w:bidi="hi-IN"/>
        </w:rPr>
        <w:t>c) Demonstration of LE cells</w:t>
      </w:r>
    </w:p>
    <w:p w:rsidR="00CC06EE" w:rsidRDefault="00CC06EE" w:rsidP="00CC06EE">
      <w:pPr>
        <w:spacing w:line="240" w:lineRule="auto"/>
        <w:ind w:left="18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bidi="hi-IN"/>
        </w:rPr>
        <w:t>d) Quality control Referenc</w:t>
      </w:r>
      <w:r w:rsidR="00966E9A">
        <w:rPr>
          <w:rFonts w:ascii="Times New Roman" w:eastAsiaTheme="minorHAnsi" w:hAnsi="Times New Roman" w:cs="Times New Roman"/>
          <w:sz w:val="28"/>
          <w:szCs w:val="28"/>
          <w:lang w:bidi="hi-IN"/>
        </w:rPr>
        <w:t>e</w:t>
      </w:r>
    </w:p>
    <w:p w:rsidR="00BC0B6B" w:rsidRPr="00CC06EE" w:rsidRDefault="00CC06EE" w:rsidP="00CC06EE">
      <w:pPr>
        <w:spacing w:line="240" w:lineRule="auto"/>
        <w:ind w:left="180"/>
        <w:contextualSpacing/>
        <w:rPr>
          <w:rFonts w:ascii="Times New Roman" w:eastAsiaTheme="minorHAnsi" w:hAnsi="Times New Roman" w:cs="Times New Roman"/>
          <w:sz w:val="28"/>
          <w:szCs w:val="28"/>
          <w:lang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bidi="hi-IN"/>
        </w:rPr>
        <w:lastRenderedPageBreak/>
        <w:t xml:space="preserve">                                                 </w:t>
      </w:r>
      <w:r w:rsidR="00784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PAPER-4</w:t>
      </w:r>
    </w:p>
    <w:p w:rsidR="0078455A" w:rsidRDefault="0078455A" w:rsidP="00CC06E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0B6B" w:rsidRPr="00BC0B6B" w:rsidRDefault="00CC06EE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BMLT-204</w:t>
      </w:r>
    </w:p>
    <w:p w:rsidR="00BC0B6B" w:rsidRPr="00CC06EE" w:rsidRDefault="00CC06EE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CC0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BC0B6B" w:rsidRPr="00CC0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MICROBIOLOGY</w:t>
      </w:r>
    </w:p>
    <w:p w:rsidR="0017527A" w:rsidRPr="0078455A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Identification</w:t>
      </w:r>
      <w:proofErr w:type="gramEnd"/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of Bacteria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Micrococci, staphylococci, streptococci, pneumococci,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coryne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-bacteria,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escherichia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klebsiella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enterobacter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proteus-providencia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salmonella, ship Ella, Arizona,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citrobacter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yersinia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pseudomonas, vibrio,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haemophilus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mycobacterium,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brucella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bordetella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bacillus, clostridia, anaerobic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cocci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neisseria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treponema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borrelia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leptospira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mycoplasma,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ricketssia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chlamydia,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Tric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agents.</w:t>
      </w:r>
    </w:p>
    <w:p w:rsidR="0017527A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2. 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Pathogenic and Non-Pathogenic Fungi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Candida, Cryptococci,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Dermatophytes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Sporotrichoums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Histoplasma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Blastomyces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Coccidiodes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, Para-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Coccidiodes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Dematiaceous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fungi,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Mycetoma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Actinomyces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Nocardia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common laboratory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contamins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3. Biochemical tests used for identification of bacteria and fungi. 4. Antimicrobial sensitivity testing and assay methods for body fluids. 5. Antimicrobial susceptibility testing for mycobacteria. 6. Preparation and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Standardisation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of antigens and antisera.</w:t>
      </w:r>
    </w:p>
    <w:p w:rsidR="0017527A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2(B) 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VIROLOGY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 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Lectures</w:t>
      </w: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1. Different staining techniques used in Virology.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Use of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Embryonated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eggs in Clinical Virology.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3. Principles of animal cell culture and their use in Virology.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4. Use of common laboratory animals in viral diagnosis.</w:t>
      </w:r>
    </w:p>
    <w:p w:rsidR="0017527A" w:rsidRDefault="0017527A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D94E77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Practical</w:t>
      </w:r>
      <w:proofErr w:type="gramStart"/>
      <w:r w:rsidRPr="00446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 :</w:t>
      </w:r>
      <w:proofErr w:type="gramEnd"/>
    </w:p>
    <w:p w:rsidR="00D94E77" w:rsidRDefault="00D94E77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4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Demonstration of staining procedures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Preparation of the following stains and demonstration of viral inclusion bodies: (a) Seller’s stain for </w:t>
      </w:r>
      <w:proofErr w:type="spellStart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Negri</w:t>
      </w:r>
      <w:proofErr w:type="spellEnd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body demonstration. (b) </w:t>
      </w:r>
      <w:proofErr w:type="spellStart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Giemsastain</w:t>
      </w:r>
      <w:proofErr w:type="spellEnd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for CMV and Herpes viral inclusions. 2. 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Preparation of reagents for serological tests</w:t>
      </w:r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Phosphate buffered saline, </w:t>
      </w:r>
      <w:proofErr w:type="spellStart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veronal</w:t>
      </w:r>
      <w:proofErr w:type="spellEnd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buffered saline, </w:t>
      </w:r>
      <w:proofErr w:type="spellStart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Alsever’s</w:t>
      </w:r>
      <w:proofErr w:type="spellEnd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solution, Dextrose gelatin, </w:t>
      </w:r>
      <w:proofErr w:type="spellStart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veronal</w:t>
      </w:r>
      <w:proofErr w:type="spellEnd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buffer and </w:t>
      </w:r>
      <w:proofErr w:type="spellStart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Tris</w:t>
      </w:r>
      <w:proofErr w:type="spellEnd"/>
      <w:r w:rsidR="00BC0B6B"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buffer.</w:t>
      </w:r>
    </w:p>
    <w:p w:rsidR="00D94E77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Principles and performance of viral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Haemagglutination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Haemagglutination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inhibition test.</w:t>
      </w:r>
    </w:p>
    <w:p w:rsidR="00D94E77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Demonstration of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Haemadsorption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test, (misprint) </w:t>
      </w:r>
    </w:p>
    <w:p w:rsidR="00D94E77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Collection, titration and preservation of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gunea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pig (misprint). </w:t>
      </w:r>
    </w:p>
    <w:p w:rsidR="00D94E77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Demonstration of complement fixation test. </w:t>
      </w:r>
    </w:p>
    <w:p w:rsidR="00D94E77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Demonstration of </w:t>
      </w:r>
      <w:proofErr w:type="spell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immunofluorescene</w:t>
      </w:r>
      <w:proofErr w:type="spell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test and (misprint) test.</w:t>
      </w:r>
    </w:p>
    <w:p w:rsidR="00BC0B6B" w:rsidRPr="00446B78" w:rsidRDefault="00BC0B6B" w:rsidP="00017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>8.Demonstration</w:t>
      </w:r>
      <w:proofErr w:type="gramEnd"/>
      <w:r w:rsidRPr="0044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of ELISA for______ detection.</w:t>
      </w:r>
    </w:p>
    <w:p w:rsidR="00286FEF" w:rsidRDefault="00286FEF" w:rsidP="00017F76"/>
    <w:sectPr w:rsidR="00286FEF" w:rsidSect="00AB3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7901"/>
    <w:multiLevelType w:val="multilevel"/>
    <w:tmpl w:val="CF7EB3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B0ED2"/>
    <w:multiLevelType w:val="multilevel"/>
    <w:tmpl w:val="97C01A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2070F1"/>
    <w:multiLevelType w:val="multilevel"/>
    <w:tmpl w:val="511275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3E2A05"/>
    <w:multiLevelType w:val="multilevel"/>
    <w:tmpl w:val="81807F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6A1842"/>
    <w:multiLevelType w:val="hybridMultilevel"/>
    <w:tmpl w:val="6A4C544C"/>
    <w:lvl w:ilvl="0" w:tplc="02DE6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83503BD"/>
    <w:multiLevelType w:val="hybridMultilevel"/>
    <w:tmpl w:val="7166C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0B6B"/>
    <w:rsid w:val="00017F76"/>
    <w:rsid w:val="0017527A"/>
    <w:rsid w:val="00201242"/>
    <w:rsid w:val="00213CEE"/>
    <w:rsid w:val="00286FEF"/>
    <w:rsid w:val="002F73A2"/>
    <w:rsid w:val="0076539B"/>
    <w:rsid w:val="0078455A"/>
    <w:rsid w:val="007C2903"/>
    <w:rsid w:val="009136B3"/>
    <w:rsid w:val="00966E9A"/>
    <w:rsid w:val="009C03F0"/>
    <w:rsid w:val="00A016F2"/>
    <w:rsid w:val="00AB3CFB"/>
    <w:rsid w:val="00B100B8"/>
    <w:rsid w:val="00BC0B6B"/>
    <w:rsid w:val="00CC06EE"/>
    <w:rsid w:val="00D94E77"/>
    <w:rsid w:val="00F40281"/>
    <w:rsid w:val="00F42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6B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E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1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242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6B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EAFB-23DB-4235-A88E-C9C0529A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24</cp:revision>
  <cp:lastPrinted>2017-06-03T10:13:00Z</cp:lastPrinted>
  <dcterms:created xsi:type="dcterms:W3CDTF">2016-02-06T09:58:00Z</dcterms:created>
  <dcterms:modified xsi:type="dcterms:W3CDTF">2017-06-05T08:59:00Z</dcterms:modified>
</cp:coreProperties>
</file>